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F868BF">
        <w:rPr>
          <w:sz w:val="28"/>
          <w:szCs w:val="28"/>
        </w:rPr>
        <w:t>1</w:t>
      </w:r>
      <w:r w:rsidR="0031276A">
        <w:rPr>
          <w:sz w:val="28"/>
          <w:szCs w:val="28"/>
        </w:rPr>
        <w:t>4</w:t>
      </w:r>
    </w:p>
    <w:tbl>
      <w:tblPr>
        <w:tblW w:w="10031" w:type="dxa"/>
        <w:tblLook w:val="01E0"/>
      </w:tblPr>
      <w:tblGrid>
        <w:gridCol w:w="7054"/>
        <w:gridCol w:w="2977"/>
      </w:tblGrid>
      <w:tr w:rsidR="000945B9" w:rsidRPr="003B0929" w:rsidTr="00FE79A5">
        <w:tc>
          <w:tcPr>
            <w:tcW w:w="7054" w:type="dxa"/>
          </w:tcPr>
          <w:p w:rsidR="000945B9" w:rsidRPr="00254F47" w:rsidRDefault="000945B9" w:rsidP="00F868BF">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2B0F77">
              <w:rPr>
                <w:sz w:val="28"/>
                <w:szCs w:val="28"/>
              </w:rPr>
              <w:t xml:space="preserve"> </w:t>
            </w:r>
            <w:r w:rsidR="0031276A">
              <w:rPr>
                <w:sz w:val="28"/>
                <w:szCs w:val="28"/>
              </w:rPr>
              <w:t>«Согласование проектных решений по отделке фасадов (паспортов цветовых решений фасадов)»</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F868BF">
        <w:rPr>
          <w:rFonts w:ascii="Times New Roman" w:hAnsi="Times New Roman" w:cs="Times New Roman"/>
          <w:sz w:val="28"/>
          <w:szCs w:val="28"/>
        </w:rPr>
        <w:t>1</w:t>
      </w:r>
      <w:r w:rsidR="0031276A">
        <w:rPr>
          <w:rFonts w:ascii="Times New Roman" w:hAnsi="Times New Roman" w:cs="Times New Roman"/>
          <w:sz w:val="28"/>
          <w:szCs w:val="28"/>
        </w:rPr>
        <w:t>4</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2B0F77" w:rsidRPr="002B0F77">
        <w:rPr>
          <w:rFonts w:ascii="Times New Roman" w:hAnsi="Times New Roman" w:cs="Times New Roman"/>
          <w:sz w:val="28"/>
          <w:szCs w:val="28"/>
        </w:rPr>
        <w:t xml:space="preserve"> </w:t>
      </w:r>
      <w:r w:rsidR="0031276A" w:rsidRPr="0031276A">
        <w:rPr>
          <w:rFonts w:ascii="Times New Roman" w:hAnsi="Times New Roman" w:cs="Times New Roman"/>
          <w:sz w:val="28"/>
          <w:szCs w:val="28"/>
        </w:rPr>
        <w:t xml:space="preserve">«Согласование проектных решений по отделке фасадов (паспортов цветовых решений фасадов)» </w:t>
      </w:r>
      <w:r w:rsidR="00F868BF">
        <w:rPr>
          <w:sz w:val="28"/>
          <w:szCs w:val="28"/>
        </w:rPr>
        <w:t>Р</w:t>
      </w:r>
      <w:r w:rsidRPr="00DF716F">
        <w:rPr>
          <w:rFonts w:ascii="Times New Roman" w:hAnsi="Times New Roman" w:cs="Times New Roman"/>
          <w:sz w:val="28"/>
          <w:szCs w:val="28"/>
        </w:rPr>
        <w:t>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13D48">
        <w:rPr>
          <w:rFonts w:ascii="Times New Roman" w:eastAsia="Times New Roman" w:hAnsi="Times New Roman" w:cs="Times New Roman"/>
          <w:color w:val="000000"/>
          <w:sz w:val="28"/>
          <w:szCs w:val="28"/>
        </w:rPr>
        <w:lastRenderedPageBreak/>
        <w:t>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w:t>
      </w:r>
      <w:r w:rsidRPr="00603CF4">
        <w:rPr>
          <w:color w:val="000000"/>
          <w:sz w:val="28"/>
          <w:szCs w:val="28"/>
        </w:rPr>
        <w:lastRenderedPageBreak/>
        <w:t>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w:t>
      </w:r>
      <w:proofErr w:type="gramStart"/>
      <w:r w:rsidRPr="00603CF4">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603CF4">
        <w:rPr>
          <w:color w:val="000000"/>
          <w:sz w:val="28"/>
          <w:szCs w:val="28"/>
        </w:rPr>
        <w:lastRenderedPageBreak/>
        <w:t>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lastRenderedPageBreak/>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340F7"/>
    <w:rsid w:val="000945B9"/>
    <w:rsid w:val="00266775"/>
    <w:rsid w:val="0029652E"/>
    <w:rsid w:val="002B0F77"/>
    <w:rsid w:val="0031276A"/>
    <w:rsid w:val="003538D6"/>
    <w:rsid w:val="00377BC7"/>
    <w:rsid w:val="004045D3"/>
    <w:rsid w:val="00435257"/>
    <w:rsid w:val="004B7523"/>
    <w:rsid w:val="004C56B6"/>
    <w:rsid w:val="0053492E"/>
    <w:rsid w:val="00550BFF"/>
    <w:rsid w:val="006529F0"/>
    <w:rsid w:val="007D6F26"/>
    <w:rsid w:val="00921A55"/>
    <w:rsid w:val="00960B42"/>
    <w:rsid w:val="00965C48"/>
    <w:rsid w:val="009E3FA9"/>
    <w:rsid w:val="00A43405"/>
    <w:rsid w:val="00A621DD"/>
    <w:rsid w:val="00AC2F32"/>
    <w:rsid w:val="00B0246F"/>
    <w:rsid w:val="00B509E2"/>
    <w:rsid w:val="00B547E5"/>
    <w:rsid w:val="00D233A3"/>
    <w:rsid w:val="00DF3BA3"/>
    <w:rsid w:val="00DF716F"/>
    <w:rsid w:val="00EB3278"/>
    <w:rsid w:val="00EC67B8"/>
    <w:rsid w:val="00F8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D116-2766-4BCB-BF02-1FEB7544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1910</Words>
  <Characters>10888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19</cp:revision>
  <cp:lastPrinted>2019-05-16T06:32:00Z</cp:lastPrinted>
  <dcterms:created xsi:type="dcterms:W3CDTF">2019-05-08T06:47:00Z</dcterms:created>
  <dcterms:modified xsi:type="dcterms:W3CDTF">2019-07-08T07:55:00Z</dcterms:modified>
</cp:coreProperties>
</file>