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D16ADB" w:rsidRDefault="00186899" w:rsidP="00186899">
      <w:pPr>
        <w:jc w:val="right"/>
        <w:rPr>
          <w:b/>
          <w:bCs/>
        </w:rPr>
      </w:pPr>
      <w:r>
        <w:rPr>
          <w:b/>
          <w:bCs/>
        </w:rPr>
        <w:t>ПРОЕКТ</w:t>
      </w:r>
    </w:p>
    <w:p w:rsidR="00AB6A6C" w:rsidRPr="00D16ADB" w:rsidRDefault="00AB6A6C" w:rsidP="00186899">
      <w:pPr>
        <w:jc w:val="right"/>
        <w:rPr>
          <w:b/>
          <w:bCs/>
        </w:rPr>
      </w:pPr>
    </w:p>
    <w:p w:rsidR="00AB6A6C" w:rsidRPr="00D16ADB" w:rsidRDefault="00AB6A6C" w:rsidP="00AB6A6C">
      <w:pPr>
        <w:rPr>
          <w:b/>
          <w:bCs/>
        </w:rPr>
      </w:pPr>
    </w:p>
    <w:p w:rsidR="00AB6A6C" w:rsidRPr="00D16ADB" w:rsidRDefault="00AB6A6C" w:rsidP="00AB6A6C">
      <w:pPr>
        <w:jc w:val="center"/>
        <w:rPr>
          <w:b/>
          <w:bCs/>
        </w:rPr>
      </w:pPr>
    </w:p>
    <w:p w:rsidR="00186899" w:rsidRPr="009C4ADD" w:rsidRDefault="00186899" w:rsidP="00186899">
      <w:pPr>
        <w:jc w:val="center"/>
        <w:outlineLvl w:val="0"/>
        <w:rPr>
          <w:b/>
          <w:sz w:val="40"/>
        </w:rPr>
      </w:pPr>
      <w:r w:rsidRPr="009C4ADD">
        <w:rPr>
          <w:b/>
          <w:sz w:val="40"/>
        </w:rPr>
        <w:t xml:space="preserve">Собрание депутатов Суховского сельского поселения </w:t>
      </w:r>
    </w:p>
    <w:p w:rsidR="00186899" w:rsidRPr="009C4ADD" w:rsidRDefault="00186899" w:rsidP="00186899">
      <w:pPr>
        <w:jc w:val="center"/>
        <w:outlineLvl w:val="0"/>
        <w:rPr>
          <w:b/>
        </w:rPr>
      </w:pPr>
      <w:r w:rsidRPr="009C4ADD">
        <w:rPr>
          <w:b/>
        </w:rPr>
        <w:t>Тацинский район, Ростовская область</w:t>
      </w:r>
    </w:p>
    <w:p w:rsidR="00186899" w:rsidRPr="009C4ADD" w:rsidRDefault="00186899" w:rsidP="00186899">
      <w:pPr>
        <w:pBdr>
          <w:bottom w:val="single" w:sz="12" w:space="1" w:color="auto"/>
        </w:pBdr>
        <w:rPr>
          <w:b/>
          <w:sz w:val="28"/>
        </w:rPr>
      </w:pPr>
    </w:p>
    <w:p w:rsidR="00186899" w:rsidRPr="009C4ADD" w:rsidRDefault="00186899" w:rsidP="00186899">
      <w:pPr>
        <w:jc w:val="center"/>
        <w:rPr>
          <w:b/>
          <w:sz w:val="28"/>
          <w:szCs w:val="28"/>
        </w:rPr>
      </w:pPr>
    </w:p>
    <w:p w:rsidR="00186899" w:rsidRPr="009C4ADD" w:rsidRDefault="00186899" w:rsidP="00186899">
      <w:pPr>
        <w:jc w:val="center"/>
        <w:rPr>
          <w:b/>
          <w:sz w:val="28"/>
          <w:szCs w:val="28"/>
        </w:rPr>
      </w:pPr>
      <w:r w:rsidRPr="009C4ADD">
        <w:rPr>
          <w:b/>
          <w:sz w:val="28"/>
          <w:szCs w:val="28"/>
        </w:rPr>
        <w:t>РЕШЕНИЕ</w:t>
      </w:r>
    </w:p>
    <w:p w:rsidR="00186899" w:rsidRPr="009C4ADD" w:rsidRDefault="00186899" w:rsidP="00186899">
      <w:pPr>
        <w:jc w:val="center"/>
        <w:rPr>
          <w:sz w:val="28"/>
          <w:szCs w:val="28"/>
        </w:rPr>
      </w:pPr>
    </w:p>
    <w:p w:rsidR="00186899" w:rsidRPr="001D374C" w:rsidRDefault="00186899" w:rsidP="00186899">
      <w:pPr>
        <w:pStyle w:val="af1"/>
        <w:spacing w:after="0" w:line="240" w:lineRule="auto"/>
        <w:rPr>
          <w:rFonts w:ascii="Times New Roman" w:hAnsi="Times New Roman"/>
          <w:sz w:val="28"/>
          <w:szCs w:val="28"/>
        </w:rPr>
      </w:pPr>
      <w:r>
        <w:rPr>
          <w:rFonts w:ascii="Times New Roman" w:hAnsi="Times New Roman"/>
          <w:sz w:val="28"/>
          <w:szCs w:val="28"/>
        </w:rPr>
        <w:t>сентября</w:t>
      </w:r>
      <w:r w:rsidRPr="001D374C">
        <w:rPr>
          <w:rFonts w:ascii="Times New Roman" w:hAnsi="Times New Roman"/>
          <w:sz w:val="28"/>
          <w:szCs w:val="28"/>
        </w:rPr>
        <w:t xml:space="preserve"> 20</w:t>
      </w:r>
      <w:r>
        <w:rPr>
          <w:rFonts w:ascii="Times New Roman" w:hAnsi="Times New Roman"/>
          <w:sz w:val="28"/>
          <w:szCs w:val="28"/>
        </w:rPr>
        <w:t>21</w:t>
      </w:r>
      <w:r w:rsidRPr="001D374C">
        <w:rPr>
          <w:rFonts w:ascii="Times New Roman" w:hAnsi="Times New Roman"/>
          <w:sz w:val="28"/>
          <w:szCs w:val="28"/>
        </w:rPr>
        <w:t xml:space="preserve"> года</w:t>
      </w:r>
      <w:r>
        <w:rPr>
          <w:rFonts w:ascii="Times New Roman" w:hAnsi="Times New Roman"/>
          <w:sz w:val="28"/>
          <w:szCs w:val="28"/>
        </w:rPr>
        <w:t xml:space="preserve">                               №                               п. Новосуховый</w:t>
      </w:r>
    </w:p>
    <w:p w:rsidR="00186899" w:rsidRDefault="00186899" w:rsidP="00186899">
      <w:pPr>
        <w:pStyle w:val="af1"/>
        <w:spacing w:after="0" w:line="240" w:lineRule="auto"/>
        <w:rPr>
          <w:rFonts w:ascii="Times New Roman" w:hAnsi="Times New Roman"/>
          <w:sz w:val="28"/>
          <w:szCs w:val="28"/>
        </w:rPr>
      </w:pPr>
    </w:p>
    <w:p w:rsidR="00186899" w:rsidRPr="00186899" w:rsidRDefault="00AB6A6C" w:rsidP="00186899">
      <w:pPr>
        <w:rPr>
          <w:bCs/>
          <w:color w:val="000000"/>
          <w:sz w:val="28"/>
          <w:szCs w:val="28"/>
        </w:rPr>
      </w:pPr>
      <w:r w:rsidRPr="00186899">
        <w:rPr>
          <w:bCs/>
          <w:color w:val="000000"/>
          <w:sz w:val="28"/>
          <w:szCs w:val="28"/>
        </w:rPr>
        <w:t xml:space="preserve">Об утверждении Положения </w:t>
      </w:r>
    </w:p>
    <w:p w:rsidR="00186899" w:rsidRPr="00186899" w:rsidRDefault="00AB6A6C" w:rsidP="00186899">
      <w:pPr>
        <w:rPr>
          <w:bCs/>
          <w:color w:val="000000"/>
          <w:sz w:val="28"/>
          <w:szCs w:val="28"/>
        </w:rPr>
      </w:pPr>
      <w:r w:rsidRPr="00186899">
        <w:rPr>
          <w:bCs/>
          <w:color w:val="000000"/>
          <w:sz w:val="28"/>
          <w:szCs w:val="28"/>
        </w:rPr>
        <w:t xml:space="preserve">о муниципальном контроле в сфере </w:t>
      </w:r>
    </w:p>
    <w:p w:rsidR="00186899" w:rsidRPr="00186899" w:rsidRDefault="00AB6A6C" w:rsidP="00186899">
      <w:pPr>
        <w:rPr>
          <w:bCs/>
          <w:color w:val="000000"/>
          <w:sz w:val="28"/>
          <w:szCs w:val="28"/>
        </w:rPr>
      </w:pPr>
      <w:r w:rsidRPr="00186899">
        <w:rPr>
          <w:bCs/>
          <w:color w:val="000000"/>
          <w:sz w:val="28"/>
          <w:szCs w:val="28"/>
        </w:rPr>
        <w:t>благоустройства на территории</w:t>
      </w:r>
    </w:p>
    <w:p w:rsidR="00AB6A6C" w:rsidRDefault="00AB6A6C" w:rsidP="00186899">
      <w:pPr>
        <w:rPr>
          <w:bCs/>
          <w:color w:val="000000"/>
          <w:sz w:val="28"/>
          <w:szCs w:val="28"/>
        </w:rPr>
      </w:pPr>
      <w:r w:rsidRPr="00186899">
        <w:rPr>
          <w:bCs/>
          <w:color w:val="000000"/>
        </w:rPr>
        <w:t xml:space="preserve"> </w:t>
      </w:r>
      <w:r w:rsidR="00A12A00" w:rsidRPr="00186899">
        <w:rPr>
          <w:bCs/>
          <w:color w:val="000000"/>
          <w:sz w:val="28"/>
          <w:szCs w:val="28"/>
        </w:rPr>
        <w:t>Суховского сельского поселения</w:t>
      </w:r>
    </w:p>
    <w:p w:rsidR="00186899" w:rsidRDefault="00186899" w:rsidP="00186899">
      <w:pPr>
        <w:rPr>
          <w:bCs/>
          <w:color w:val="000000"/>
          <w:sz w:val="28"/>
          <w:szCs w:val="28"/>
        </w:rPr>
      </w:pPr>
    </w:p>
    <w:p w:rsidR="00186899" w:rsidRPr="009C4ADD" w:rsidRDefault="00186899" w:rsidP="00186899">
      <w:pPr>
        <w:tabs>
          <w:tab w:val="left" w:pos="6945"/>
        </w:tabs>
        <w:jc w:val="both"/>
        <w:rPr>
          <w:b/>
          <w:bCs/>
          <w:sz w:val="28"/>
          <w:szCs w:val="28"/>
        </w:rPr>
      </w:pPr>
      <w:r w:rsidRPr="009C4ADD">
        <w:rPr>
          <w:b/>
          <w:bCs/>
          <w:sz w:val="28"/>
          <w:szCs w:val="28"/>
        </w:rPr>
        <w:t xml:space="preserve">Принято </w:t>
      </w:r>
      <w:r w:rsidRPr="009C4ADD">
        <w:rPr>
          <w:sz w:val="28"/>
          <w:szCs w:val="28"/>
        </w:rPr>
        <w:tab/>
      </w:r>
    </w:p>
    <w:p w:rsidR="00186899" w:rsidRPr="009C4ADD" w:rsidRDefault="00186899" w:rsidP="00186899">
      <w:pPr>
        <w:jc w:val="both"/>
        <w:rPr>
          <w:b/>
          <w:bCs/>
          <w:sz w:val="28"/>
          <w:szCs w:val="28"/>
        </w:rPr>
      </w:pPr>
      <w:r w:rsidRPr="009C4ADD">
        <w:rPr>
          <w:b/>
          <w:bCs/>
          <w:sz w:val="28"/>
          <w:szCs w:val="28"/>
        </w:rPr>
        <w:t>Собранием депутатов</w:t>
      </w:r>
    </w:p>
    <w:p w:rsidR="00AB6A6C" w:rsidRPr="00186899" w:rsidRDefault="00186899" w:rsidP="00186899">
      <w:pPr>
        <w:jc w:val="both"/>
        <w:rPr>
          <w:color w:val="000000"/>
        </w:rPr>
      </w:pPr>
      <w:r w:rsidRPr="009C4ADD">
        <w:rPr>
          <w:b/>
          <w:bCs/>
          <w:sz w:val="28"/>
          <w:szCs w:val="28"/>
        </w:rPr>
        <w:t>Суховского сельского поселения</w:t>
      </w:r>
    </w:p>
    <w:p w:rsidR="00AB6A6C" w:rsidRPr="001F1F63" w:rsidRDefault="00AB6A6C" w:rsidP="00AB6A6C">
      <w:pPr>
        <w:shd w:val="clear" w:color="auto" w:fill="FFFFFF"/>
        <w:ind w:firstLine="567"/>
        <w:rPr>
          <w:b/>
          <w:color w:val="000000"/>
        </w:rPr>
      </w:pPr>
    </w:p>
    <w:p w:rsidR="00AB6A6C" w:rsidRDefault="00AB6A6C" w:rsidP="00AB6A6C">
      <w:pPr>
        <w:shd w:val="clear" w:color="auto" w:fill="FFFFFF"/>
        <w:ind w:firstLine="709"/>
        <w:jc w:val="both"/>
        <w:rPr>
          <w:sz w:val="28"/>
          <w:szCs w:val="28"/>
          <w:bdr w:val="none" w:sz="0" w:space="0" w:color="auto" w:frame="1"/>
          <w:shd w:val="clear" w:color="auto" w:fill="FFFFFF" w:themeFill="background1"/>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186899">
        <w:rPr>
          <w:sz w:val="28"/>
          <w:szCs w:val="28"/>
          <w:bdr w:val="none" w:sz="0" w:space="0" w:color="auto" w:frame="1"/>
          <w:shd w:val="clear" w:color="auto" w:fill="FFFFFF" w:themeFill="background1"/>
        </w:rPr>
        <w:t xml:space="preserve">руководствуясь Уставом </w:t>
      </w:r>
      <w:r w:rsidR="00186899" w:rsidRPr="00B16441">
        <w:rPr>
          <w:sz w:val="28"/>
          <w:szCs w:val="28"/>
          <w:bdr w:val="none" w:sz="0" w:space="0" w:color="auto" w:frame="1"/>
          <w:shd w:val="clear" w:color="auto" w:fill="FFFFFF" w:themeFill="background1"/>
        </w:rPr>
        <w:t>муниципального образования «</w:t>
      </w:r>
      <w:r w:rsidR="00186899">
        <w:rPr>
          <w:sz w:val="28"/>
          <w:szCs w:val="28"/>
          <w:bdr w:val="none" w:sz="0" w:space="0" w:color="auto" w:frame="1"/>
          <w:shd w:val="clear" w:color="auto" w:fill="FFFFFF" w:themeFill="background1"/>
        </w:rPr>
        <w:t>Суховское сельское поселение</w:t>
      </w:r>
      <w:r w:rsidR="00186899" w:rsidRPr="00B16441">
        <w:rPr>
          <w:sz w:val="28"/>
          <w:szCs w:val="28"/>
          <w:bdr w:val="none" w:sz="0" w:space="0" w:color="auto" w:frame="1"/>
          <w:shd w:val="clear" w:color="auto" w:fill="FFFFFF" w:themeFill="background1"/>
        </w:rPr>
        <w:t>»,</w:t>
      </w:r>
    </w:p>
    <w:p w:rsidR="00186899" w:rsidRPr="001F1F63" w:rsidRDefault="00186899" w:rsidP="00AB6A6C">
      <w:pPr>
        <w:shd w:val="clear" w:color="auto" w:fill="FFFFFF"/>
        <w:ind w:firstLine="709"/>
        <w:jc w:val="both"/>
        <w:rPr>
          <w:color w:val="000000"/>
        </w:rPr>
      </w:pPr>
    </w:p>
    <w:p w:rsidR="00186899" w:rsidRPr="00186899" w:rsidRDefault="00186899" w:rsidP="00186899">
      <w:pPr>
        <w:jc w:val="center"/>
        <w:rPr>
          <w:bCs/>
          <w:sz w:val="28"/>
          <w:szCs w:val="28"/>
        </w:rPr>
      </w:pPr>
      <w:r w:rsidRPr="00186899">
        <w:rPr>
          <w:bCs/>
          <w:sz w:val="28"/>
          <w:szCs w:val="28"/>
        </w:rPr>
        <w:t>РЕШИЛО:</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A12A00">
        <w:rPr>
          <w:color w:val="000000"/>
          <w:sz w:val="28"/>
          <w:szCs w:val="28"/>
        </w:rPr>
        <w:t>Суховского сельского поселения.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2"/>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A12A00">
        <w:rPr>
          <w:color w:val="000000"/>
          <w:sz w:val="28"/>
          <w:szCs w:val="28"/>
        </w:rPr>
        <w:t>Суховского сельского поселения.</w:t>
      </w:r>
    </w:p>
    <w:p w:rsidR="00B34ACF" w:rsidRDefault="00B34ACF" w:rsidP="00DF6FD2">
      <w:pPr>
        <w:shd w:val="clear" w:color="auto" w:fill="FFFFFF"/>
        <w:ind w:firstLine="709"/>
        <w:jc w:val="both"/>
        <w:rPr>
          <w:color w:val="000000"/>
        </w:rPr>
      </w:pPr>
    </w:p>
    <w:p w:rsidR="00B34ACF" w:rsidRDefault="00B34ACF" w:rsidP="00DF6FD2">
      <w:pPr>
        <w:shd w:val="clear" w:color="auto" w:fill="FFFFFF"/>
        <w:ind w:firstLine="709"/>
        <w:jc w:val="both"/>
        <w:rPr>
          <w:color w:val="000000"/>
        </w:rPr>
      </w:pPr>
    </w:p>
    <w:p w:rsidR="00DF6FD2" w:rsidRPr="00B34ACF" w:rsidRDefault="00AB6A6C" w:rsidP="00DF6FD2">
      <w:pPr>
        <w:shd w:val="clear" w:color="auto" w:fill="FFFFFF"/>
        <w:ind w:firstLine="709"/>
        <w:jc w:val="both"/>
        <w:rPr>
          <w:color w:val="000000"/>
        </w:rPr>
      </w:pPr>
      <w:r w:rsidRPr="00B34ACF">
        <w:rPr>
          <w:color w:val="000000"/>
        </w:rPr>
        <w:t xml:space="preserve">Положения раздела 6 Положения о муниципальном контроле в сфере благоустройства на территории </w:t>
      </w:r>
      <w:r w:rsidR="00A12A00" w:rsidRPr="00B34ACF">
        <w:rPr>
          <w:color w:val="000000"/>
        </w:rPr>
        <w:t>Суховского сельского поселения</w:t>
      </w:r>
      <w:r w:rsidRPr="00B34ACF">
        <w:rPr>
          <w:i/>
          <w:iCs/>
          <w:color w:val="000000"/>
        </w:rPr>
        <w:t xml:space="preserve"> </w:t>
      </w:r>
      <w:r w:rsidRPr="00B34ACF">
        <w:rPr>
          <w:color w:val="000000"/>
        </w:rPr>
        <w:t>вступают в силу с 1 марта 2022 года.</w:t>
      </w:r>
    </w:p>
    <w:p w:rsidR="00DF6FD2" w:rsidRPr="00B34ACF" w:rsidRDefault="00DF6FD2" w:rsidP="00DF6FD2">
      <w:pPr>
        <w:shd w:val="clear" w:color="auto" w:fill="FFFFFF"/>
        <w:ind w:firstLine="709"/>
        <w:jc w:val="both"/>
        <w:rPr>
          <w:color w:val="000000"/>
        </w:rPr>
      </w:pPr>
    </w:p>
    <w:p w:rsidR="00DF6FD2" w:rsidRDefault="00DF6FD2" w:rsidP="00DF6FD2">
      <w:pPr>
        <w:shd w:val="clear" w:color="auto" w:fill="FFFFFF"/>
        <w:ind w:firstLine="709"/>
        <w:jc w:val="both"/>
        <w:rPr>
          <w:sz w:val="28"/>
          <w:szCs w:val="28"/>
        </w:rPr>
      </w:pPr>
    </w:p>
    <w:p w:rsidR="00DF6FD2" w:rsidRDefault="00DF6FD2" w:rsidP="00DF6FD2">
      <w:pPr>
        <w:jc w:val="right"/>
        <w:rPr>
          <w:sz w:val="28"/>
          <w:szCs w:val="28"/>
        </w:rPr>
      </w:pPr>
    </w:p>
    <w:p w:rsidR="00AB6A6C" w:rsidRPr="001F1F63" w:rsidRDefault="00DF6FD2" w:rsidP="00DF6FD2">
      <w:pPr>
        <w:jc w:val="center"/>
      </w:pPr>
      <w:r>
        <w:rPr>
          <w:sz w:val="28"/>
          <w:szCs w:val="28"/>
        </w:rPr>
        <w:t xml:space="preserve">                                                             </w:t>
      </w:r>
      <w:r w:rsidR="00A86BB9">
        <w:rPr>
          <w:sz w:val="28"/>
          <w:szCs w:val="28"/>
        </w:rPr>
        <w:t>У</w:t>
      </w:r>
      <w:r w:rsidR="00AB6A6C" w:rsidRPr="001F1F63">
        <w:t>ТВЕРЖДЕНО</w:t>
      </w:r>
    </w:p>
    <w:p w:rsidR="004A0243" w:rsidRDefault="00AB6A6C" w:rsidP="00AB6A6C">
      <w:pPr>
        <w:ind w:left="4536"/>
        <w:jc w:val="center"/>
        <w:rPr>
          <w:bCs/>
          <w:color w:val="000000"/>
        </w:rPr>
      </w:pPr>
      <w:r w:rsidRPr="001F1F63">
        <w:rPr>
          <w:color w:val="000000"/>
        </w:rPr>
        <w:t xml:space="preserve">решением </w:t>
      </w:r>
      <w:r w:rsidR="004A0243">
        <w:rPr>
          <w:b/>
          <w:bCs/>
          <w:color w:val="000000"/>
          <w:sz w:val="28"/>
          <w:szCs w:val="28"/>
        </w:rPr>
        <w:t xml:space="preserve"> </w:t>
      </w:r>
      <w:r w:rsidR="004A0243" w:rsidRPr="004A0243">
        <w:rPr>
          <w:bCs/>
          <w:color w:val="000000"/>
        </w:rPr>
        <w:t>Собрания депутатов</w:t>
      </w:r>
    </w:p>
    <w:p w:rsidR="00AB6A6C" w:rsidRPr="001F1F63" w:rsidRDefault="004A0243" w:rsidP="00AB6A6C">
      <w:pPr>
        <w:ind w:left="4536"/>
        <w:jc w:val="center"/>
        <w:rPr>
          <w:i/>
          <w:iCs/>
          <w:color w:val="000000"/>
        </w:rPr>
      </w:pPr>
      <w:r w:rsidRPr="004A0243">
        <w:rPr>
          <w:bCs/>
          <w:color w:val="000000"/>
        </w:rPr>
        <w:t xml:space="preserve"> Суховского сельского поселения</w:t>
      </w:r>
    </w:p>
    <w:p w:rsidR="00AB6A6C" w:rsidRPr="001F1F63" w:rsidRDefault="00AB6A6C" w:rsidP="00AB6A6C">
      <w:pPr>
        <w:ind w:left="4536"/>
        <w:jc w:val="center"/>
      </w:pPr>
      <w:r w:rsidRPr="001F1F63">
        <w:t>от __________ 2021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A12A00" w:rsidRPr="00A12A00">
        <w:rPr>
          <w:b/>
          <w:color w:val="000000"/>
          <w:sz w:val="28"/>
          <w:szCs w:val="28"/>
        </w:rPr>
        <w:t>Суховского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12A00" w:rsidRPr="00A12A00">
        <w:rPr>
          <w:rFonts w:ascii="Times New Roman" w:hAnsi="Times New Roman" w:cs="Times New Roman"/>
          <w:color w:val="000000"/>
          <w:sz w:val="28"/>
          <w:szCs w:val="28"/>
        </w:rPr>
        <w:t>Суховского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12A00" w:rsidRPr="00A12A00">
        <w:rPr>
          <w:rFonts w:ascii="Times New Roman" w:hAnsi="Times New Roman" w:cs="Times New Roman"/>
          <w:color w:val="000000"/>
          <w:sz w:val="28"/>
          <w:szCs w:val="28"/>
        </w:rPr>
        <w:t>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A12A00">
        <w:rPr>
          <w:color w:val="000000"/>
          <w:sz w:val="28"/>
          <w:szCs w:val="28"/>
        </w:rPr>
        <w:t>Суховского сельского поселения</w:t>
      </w:r>
      <w:r w:rsidR="00A12A00" w:rsidRPr="001F1F63">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4A0243">
        <w:rPr>
          <w:color w:val="000000"/>
          <w:sz w:val="28"/>
          <w:szCs w:val="28"/>
        </w:rPr>
        <w:t xml:space="preserve">ведущие специалисты </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w:t>
      </w:r>
      <w:r w:rsidR="004A0243" w:rsidRPr="004A0243">
        <w:rPr>
          <w:sz w:val="28"/>
          <w:szCs w:val="28"/>
        </w:rPr>
        <w:t>актами Ростовской области</w:t>
      </w:r>
      <w:r w:rsidR="004A0243">
        <w:rPr>
          <w:color w:val="FF0000"/>
          <w:sz w:val="28"/>
          <w:szCs w:val="28"/>
        </w:rPr>
        <w:t xml:space="preserve"> </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w:t>
      </w:r>
      <w:r w:rsidR="004A0243">
        <w:rPr>
          <w:color w:val="000000"/>
          <w:sz w:val="28"/>
          <w:szCs w:val="28"/>
        </w:rPr>
        <w:t xml:space="preserve"> Ростовской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A12A00">
        <w:rPr>
          <w:color w:val="000000"/>
          <w:sz w:val="28"/>
          <w:szCs w:val="28"/>
        </w:rPr>
        <w:t>Суховского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A12A00">
        <w:rPr>
          <w:color w:val="000000"/>
          <w:sz w:val="28"/>
          <w:szCs w:val="28"/>
        </w:rPr>
        <w:t>Суховского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A12A00">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A12A00">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6"/>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w:t>
      </w:r>
      <w:r w:rsidR="00A12A00" w:rsidRPr="00A12A00">
        <w:rPr>
          <w:rFonts w:ascii="Times New Roman" w:hAnsi="Times New Roman" w:cs="Times New Roman"/>
          <w:color w:val="000000"/>
          <w:sz w:val="28"/>
          <w:szCs w:val="28"/>
        </w:rPr>
        <w:t xml:space="preserve">https://suhovskoesp.ru/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9"/>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C312BE">
        <w:rPr>
          <w:rFonts w:ascii="Times New Roman" w:hAnsi="Times New Roman" w:cs="Times New Roman"/>
          <w:color w:val="000000"/>
          <w:sz w:val="28"/>
          <w:szCs w:val="28"/>
        </w:rPr>
        <w:t>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C312B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12BE">
        <w:rPr>
          <w:color w:val="000000"/>
          <w:sz w:val="28"/>
          <w:szCs w:val="28"/>
        </w:rPr>
        <w:t>администрации Суховского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1F1F63">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C312BE" w:rsidRDefault="00C312BE" w:rsidP="00AB6A6C">
      <w:pPr>
        <w:pStyle w:val="ConsPlusNormal"/>
        <w:spacing w:line="360" w:lineRule="auto"/>
        <w:ind w:firstLine="0"/>
        <w:jc w:val="center"/>
        <w:rPr>
          <w:rFonts w:ascii="Times New Roman" w:hAnsi="Times New Roman" w:cs="Times New Roman"/>
          <w:b/>
          <w:bCs/>
          <w:color w:val="000000"/>
          <w:sz w:val="28"/>
          <w:szCs w:val="28"/>
        </w:rPr>
      </w:pPr>
    </w:p>
    <w:p w:rsidR="00C312BE" w:rsidRDefault="00C312BE" w:rsidP="00AB6A6C">
      <w:pPr>
        <w:pStyle w:val="ConsPlusNormal"/>
        <w:spacing w:line="360" w:lineRule="auto"/>
        <w:ind w:firstLine="0"/>
        <w:jc w:val="center"/>
        <w:rPr>
          <w:rFonts w:ascii="Times New Roman" w:hAnsi="Times New Roman" w:cs="Times New Roman"/>
          <w:b/>
          <w:bCs/>
          <w:color w:val="000000"/>
          <w:sz w:val="28"/>
          <w:szCs w:val="28"/>
        </w:rPr>
      </w:pPr>
    </w:p>
    <w:p w:rsidR="00C312BE" w:rsidRDefault="00C312BE"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1F1F63">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312BE">
        <w:rPr>
          <w:rFonts w:ascii="Times New Roman" w:hAnsi="Times New Roman" w:cs="Times New Roman"/>
          <w:color w:val="000000"/>
          <w:sz w:val="28"/>
          <w:szCs w:val="28"/>
        </w:rPr>
        <w:t>администрации Суховского сельского поселения</w:t>
      </w:r>
      <w:r w:rsidR="00C312BE">
        <w:rPr>
          <w:rFonts w:ascii="Times New Roman" w:hAnsi="Times New Roman" w:cs="Times New Roman"/>
          <w:color w:val="000000"/>
          <w:sz w:val="28"/>
          <w:szCs w:val="28"/>
          <w:shd w:val="clear" w:color="auto" w:fill="FFFFFF"/>
        </w:rPr>
        <w:t>, задания</w:t>
      </w:r>
      <w:r w:rsidRPr="001F1F63">
        <w:rPr>
          <w:rFonts w:ascii="Times New Roman" w:hAnsi="Times New Roman" w:cs="Times New Roman"/>
          <w:color w:val="000000"/>
          <w:sz w:val="28"/>
          <w:szCs w:val="28"/>
          <w:shd w:val="clear" w:color="auto" w:fill="FFFFFF"/>
        </w:rPr>
        <w:t xml:space="preserve">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w:t>
      </w:r>
      <w:r w:rsidR="00C312BE">
        <w:rPr>
          <w:color w:val="000000"/>
          <w:sz w:val="28"/>
          <w:szCs w:val="28"/>
          <w:shd w:val="clear" w:color="auto" w:fill="FFFFFF"/>
        </w:rPr>
        <w:t xml:space="preserve"> </w:t>
      </w:r>
      <w:r w:rsidRPr="001F1F63">
        <w:rPr>
          <w:color w:val="000000"/>
          <w:sz w:val="28"/>
          <w:szCs w:val="28"/>
          <w:shd w:val="clear" w:color="auto" w:fill="FFFFFF"/>
        </w:rPr>
        <w:t>же</w:t>
      </w:r>
      <w:r w:rsidR="00C312BE">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F1F63">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1F1F63">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DF6FD2">
        <w:rPr>
          <w:rFonts w:ascii="Times New Roman" w:hAnsi="Times New Roman" w:cs="Times New Roman"/>
          <w:color w:val="000000"/>
          <w:sz w:val="28"/>
          <w:szCs w:val="28"/>
        </w:rPr>
        <w:t>4.24. Должностные лица, осуществляю</w:t>
      </w:r>
      <w:r w:rsidRPr="001F1F63">
        <w:rPr>
          <w:rFonts w:ascii="Times New Roman" w:hAnsi="Times New Roman" w:cs="Times New Roman"/>
          <w:color w:val="000000"/>
          <w:sz w:val="28"/>
          <w:szCs w:val="28"/>
        </w:rPr>
        <w:t xml:space="preserve">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F6FD2" w:rsidRPr="00DF6FD2">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DF6FD2">
        <w:rPr>
          <w:rFonts w:ascii="Times New Roman" w:hAnsi="Times New Roman" w:cs="Times New Roman"/>
          <w:sz w:val="28"/>
          <w:szCs w:val="28"/>
        </w:rPr>
        <w:t xml:space="preserve">Соответствующая жалоба подается контролируемым лицом на личном приеме главы </w:t>
      </w:r>
      <w:r w:rsidR="00C312BE" w:rsidRPr="00DF6FD2">
        <w:rPr>
          <w:rFonts w:ascii="Times New Roman" w:hAnsi="Times New Roman" w:cs="Times New Roman"/>
          <w:sz w:val="28"/>
          <w:szCs w:val="28"/>
        </w:rPr>
        <w:t>администрации Суховского сельского поселения</w:t>
      </w:r>
      <w:r w:rsidRPr="00DF6FD2">
        <w:rPr>
          <w:rFonts w:ascii="Times New Roman" w:hAnsi="Times New Roman" w:cs="Times New Roman"/>
          <w:i/>
          <w:iCs/>
          <w:sz w:val="24"/>
          <w:szCs w:val="24"/>
        </w:rPr>
        <w:t xml:space="preserve"> </w:t>
      </w:r>
      <w:r w:rsidRPr="00DF6FD2">
        <w:rPr>
          <w:rFonts w:ascii="Times New Roman" w:hAnsi="Times New Roman" w:cs="Times New Roman"/>
          <w:sz w:val="28"/>
          <w:szCs w:val="28"/>
        </w:rPr>
        <w:t xml:space="preserve">с предварительным информированием главы </w:t>
      </w:r>
      <w:r w:rsidR="00C312BE" w:rsidRPr="00DF6FD2">
        <w:rPr>
          <w:rFonts w:ascii="Times New Roman" w:hAnsi="Times New Roman" w:cs="Times New Roman"/>
          <w:sz w:val="28"/>
          <w:szCs w:val="28"/>
        </w:rPr>
        <w:t>Суховского сельского поселения</w:t>
      </w:r>
      <w:r w:rsidRPr="00DF6FD2">
        <w:rPr>
          <w:rFonts w:ascii="Times New Roman" w:hAnsi="Times New Roman" w:cs="Times New Roman"/>
          <w:i/>
          <w:iCs/>
          <w:sz w:val="24"/>
          <w:szCs w:val="24"/>
        </w:rPr>
        <w:t xml:space="preserve"> </w:t>
      </w:r>
      <w:r w:rsidRPr="00DF6FD2">
        <w:rPr>
          <w:rFonts w:ascii="Times New Roman" w:hAnsi="Times New Roman" w:cs="Times New Roman"/>
          <w:sz w:val="28"/>
          <w:szCs w:val="28"/>
        </w:rPr>
        <w:t>о</w:t>
      </w:r>
      <w:r w:rsidRPr="001F1F63">
        <w:rPr>
          <w:rFonts w:ascii="Times New Roman" w:hAnsi="Times New Roman" w:cs="Times New Roman"/>
          <w:color w:val="000000"/>
          <w:sz w:val="28"/>
          <w:szCs w:val="28"/>
        </w:rPr>
        <w:t xml:space="preserve"> наличии в</w:t>
      </w:r>
      <w:r w:rsidR="00C312B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0A7C"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w:t>
      </w:r>
      <w:r w:rsidRPr="001F0A7C">
        <w:rPr>
          <w:rFonts w:ascii="Times New Roman" w:hAnsi="Times New Roman" w:cs="Times New Roman"/>
          <w:sz w:val="28"/>
          <w:szCs w:val="28"/>
        </w:rPr>
        <w:t xml:space="preserve">главой (заместителем главы) </w:t>
      </w:r>
      <w:r w:rsidR="00C312BE" w:rsidRPr="001F0A7C">
        <w:rPr>
          <w:rFonts w:ascii="Times New Roman" w:hAnsi="Times New Roman" w:cs="Times New Roman"/>
          <w:sz w:val="28"/>
          <w:szCs w:val="28"/>
        </w:rPr>
        <w:t>администрации Суховского сельского поселения</w:t>
      </w:r>
      <w:r w:rsidR="00C312BE" w:rsidRPr="001F0A7C">
        <w:rPr>
          <w:rStyle w:val="ae"/>
          <w:rFonts w:ascii="Times New Roman" w:hAnsi="Times New Roman" w:cs="Times New Roman"/>
          <w:sz w:val="24"/>
          <w:szCs w:val="24"/>
        </w:rPr>
        <w:t xml:space="preserve"> </w:t>
      </w:r>
      <w:r w:rsidRPr="001F0A7C">
        <w:rPr>
          <w:rStyle w:val="ae"/>
          <w:rFonts w:ascii="Times New Roman" w:hAnsi="Times New Roman" w:cs="Times New Roman"/>
          <w:sz w:val="24"/>
          <w:szCs w:val="24"/>
        </w:rPr>
        <w:footnoteReference w:id="12"/>
      </w:r>
      <w:r w:rsidRPr="001F0A7C">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1F1F63">
        <w:rPr>
          <w:rFonts w:ascii="Times New Roman" w:hAnsi="Times New Roman" w:cs="Times New Roman"/>
          <w:b/>
          <w:bCs/>
          <w:color w:val="000000"/>
          <w:sz w:val="28"/>
          <w:szCs w:val="28"/>
        </w:rPr>
        <w:t xml:space="preserve">__________ </w:t>
      </w:r>
      <w:r w:rsidRPr="001F1F63">
        <w:rPr>
          <w:rFonts w:ascii="Times New Roman" w:hAnsi="Times New Roman" w:cs="Times New Roman"/>
          <w:i/>
          <w:iCs/>
          <w:color w:val="000000"/>
          <w:sz w:val="24"/>
          <w:szCs w:val="24"/>
        </w:rPr>
        <w:t>(наименование представительного органа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F0A7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Суховского сельского поселения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3"/>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1F0A7C" w:rsidRPr="001F0A7C">
        <w:rPr>
          <w:rFonts w:ascii="Times New Roman" w:hAnsi="Times New Roman" w:cs="Times New Roman"/>
          <w:bCs w:val="0"/>
          <w:color w:val="000000"/>
          <w:sz w:val="28"/>
          <w:szCs w:val="28"/>
        </w:rPr>
        <w:t>Суховского сельского поселения</w:t>
      </w:r>
      <w:r w:rsidR="001F0A7C">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1F0A7C">
        <w:rPr>
          <w:rFonts w:ascii="Times New Roman" w:hAnsi="Times New Roman" w:cs="Times New Roman"/>
          <w:i/>
          <w:iCs/>
          <w:color w:val="000000"/>
          <w:sz w:val="24"/>
          <w:szCs w:val="24"/>
        </w:rPr>
        <w:t xml:space="preserve"> </w:t>
      </w:r>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F0A7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Суховского сельского поселения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C312BE">
        <w:rPr>
          <w:rFonts w:ascii="Times New Roman" w:hAnsi="Times New Roman" w:cs="Times New Roman"/>
          <w:color w:val="000000"/>
          <w:sz w:val="28"/>
          <w:szCs w:val="28"/>
        </w:rPr>
        <w:t>Суховского сельского поселения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5"/>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6"/>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 xml:space="preserve">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C312BE">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576AAE"/>
    <w:sectPr w:rsidR="00915CD9" w:rsidSect="00DF6FD2">
      <w:headerReference w:type="even" r:id="rId14"/>
      <w:headerReference w:type="default" r:id="rId15"/>
      <w:pgSz w:w="11906" w:h="16838"/>
      <w:pgMar w:top="1134" w:right="850" w:bottom="1135"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AE" w:rsidRDefault="00576AAE" w:rsidP="00AB6A6C">
      <w:r>
        <w:separator/>
      </w:r>
    </w:p>
  </w:endnote>
  <w:endnote w:type="continuationSeparator" w:id="1">
    <w:p w:rsidR="00576AAE" w:rsidRDefault="00576AAE"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AE" w:rsidRDefault="00576AAE" w:rsidP="00AB6A6C">
      <w:r>
        <w:separator/>
      </w:r>
    </w:p>
  </w:footnote>
  <w:footnote w:type="continuationSeparator" w:id="1">
    <w:p w:rsidR="00576AAE" w:rsidRDefault="00576AAE" w:rsidP="00AB6A6C">
      <w:r>
        <w:continuationSeparator/>
      </w:r>
    </w:p>
  </w:footnote>
  <w:footnote w:id="2">
    <w:p w:rsidR="00B34ACF" w:rsidRDefault="00B34ACF" w:rsidP="00B34ACF">
      <w:pPr>
        <w:pStyle w:val="a4"/>
        <w:jc w:val="both"/>
      </w:pPr>
      <w:r>
        <w:rPr>
          <w:rStyle w:val="ae"/>
        </w:rPr>
        <w:footnoteRef/>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p w:rsidR="00B34ACF" w:rsidRDefault="00B34ACF" w:rsidP="00B34ACF">
      <w:pPr>
        <w:pStyle w:val="a4"/>
        <w:jc w:val="both"/>
      </w:pPr>
      <w:r>
        <w:rPr>
          <w:rStyle w:val="ae"/>
        </w:rPr>
        <w:footnoteRef/>
      </w:r>
      <w:r>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p w:rsidR="006F7DEA" w:rsidRPr="006F7DEA" w:rsidRDefault="006F7DEA" w:rsidP="001F1F63">
      <w:pPr>
        <w:pStyle w:val="a4"/>
        <w:jc w:val="both"/>
      </w:pPr>
    </w:p>
  </w:footnote>
  <w:footnote w:id="3">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B34ACF">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B34ACF">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6">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8">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2">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3">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E3C6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76A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E3C6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A0243">
      <w:rPr>
        <w:rStyle w:val="a8"/>
        <w:noProof/>
      </w:rPr>
      <w:t>37</w:t>
    </w:r>
    <w:r>
      <w:rPr>
        <w:rStyle w:val="a8"/>
      </w:rPr>
      <w:fldChar w:fldCharType="end"/>
    </w:r>
  </w:p>
  <w:p w:rsidR="00E90F25" w:rsidRDefault="00576AA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B6A6C"/>
    <w:rsid w:val="00186899"/>
    <w:rsid w:val="001F0A7C"/>
    <w:rsid w:val="001F1F63"/>
    <w:rsid w:val="002458AC"/>
    <w:rsid w:val="0031319B"/>
    <w:rsid w:val="003E3C67"/>
    <w:rsid w:val="004A0243"/>
    <w:rsid w:val="004D704D"/>
    <w:rsid w:val="00576AAE"/>
    <w:rsid w:val="006F7DEA"/>
    <w:rsid w:val="00750556"/>
    <w:rsid w:val="007844DA"/>
    <w:rsid w:val="007D375F"/>
    <w:rsid w:val="007F0581"/>
    <w:rsid w:val="00897853"/>
    <w:rsid w:val="008D519B"/>
    <w:rsid w:val="00935631"/>
    <w:rsid w:val="009D07EB"/>
    <w:rsid w:val="00A12A00"/>
    <w:rsid w:val="00A67121"/>
    <w:rsid w:val="00A86BB9"/>
    <w:rsid w:val="00AB6A6C"/>
    <w:rsid w:val="00B34ACF"/>
    <w:rsid w:val="00C312BE"/>
    <w:rsid w:val="00DE0403"/>
    <w:rsid w:val="00DF6FD2"/>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Body Text"/>
    <w:basedOn w:val="a"/>
    <w:link w:val="af2"/>
    <w:uiPriority w:val="99"/>
    <w:unhideWhenUsed/>
    <w:rsid w:val="00186899"/>
    <w:pPr>
      <w:spacing w:after="120" w:line="276" w:lineRule="auto"/>
    </w:pPr>
    <w:rPr>
      <w:rFonts w:ascii="Calibri" w:hAnsi="Calibri"/>
      <w:sz w:val="22"/>
      <w:szCs w:val="22"/>
      <w:lang w:eastAsia="en-US"/>
    </w:rPr>
  </w:style>
  <w:style w:type="character" w:customStyle="1" w:styleId="af2">
    <w:name w:val="Основной текст Знак"/>
    <w:basedOn w:val="a0"/>
    <w:link w:val="af1"/>
    <w:uiPriority w:val="99"/>
    <w:rsid w:val="00186899"/>
    <w:rPr>
      <w:rFonts w:ascii="Calibri" w:eastAsia="Times New Roman" w:hAnsi="Calibri" w:cs="Times New Roman"/>
    </w:rPr>
  </w:style>
  <w:style w:type="paragraph" w:styleId="af3">
    <w:name w:val="footer"/>
    <w:basedOn w:val="a"/>
    <w:link w:val="af4"/>
    <w:uiPriority w:val="99"/>
    <w:semiHidden/>
    <w:unhideWhenUsed/>
    <w:rsid w:val="00186899"/>
    <w:pPr>
      <w:tabs>
        <w:tab w:val="center" w:pos="4677"/>
        <w:tab w:val="right" w:pos="9355"/>
      </w:tabs>
    </w:pPr>
  </w:style>
  <w:style w:type="character" w:customStyle="1" w:styleId="af4">
    <w:name w:val="Нижний колонтитул Знак"/>
    <w:basedOn w:val="a0"/>
    <w:link w:val="af3"/>
    <w:uiPriority w:val="99"/>
    <w:semiHidden/>
    <w:rsid w:val="001868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7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6</cp:revision>
  <dcterms:created xsi:type="dcterms:W3CDTF">2021-09-27T04:54:00Z</dcterms:created>
  <dcterms:modified xsi:type="dcterms:W3CDTF">2021-09-28T11:33:00Z</dcterms:modified>
</cp:coreProperties>
</file>